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Em que pese, todo o zelo demonstrado por V. Exa., importante frisar uma série de avanços relativos à utilização de assinatura eletrônica no Brasil, dentre eles a MP 983/2020, convertida na lei n.14.063/2020, que surgiu em um momento em que o isolamento social causado pela pandemia do COVID-19, acelerando a tendência de utilização de meios eletrônicos para formalização dos negócios jurídicos.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ab/>
        <w:t xml:space="preserve">No </w:t>
      </w:r>
      <w:r w:rsidDel="00000000" w:rsidR="00000000" w:rsidRPr="00000000">
        <w:rPr>
          <w:highlight w:val="yellow"/>
          <w:rtl w:val="0"/>
        </w:rPr>
        <w:t xml:space="preserve">DOCUMENTO</w:t>
      </w:r>
      <w:r w:rsidDel="00000000" w:rsidR="00000000" w:rsidRPr="00000000">
        <w:rPr>
          <w:rtl w:val="0"/>
        </w:rPr>
        <w:t xml:space="preserve"> formalizado, foi utilizado, uma ferramenta de assinatura eletrônica, que </w:t>
      </w:r>
      <w:r w:rsidDel="00000000" w:rsidR="00000000" w:rsidRPr="00000000">
        <w:rPr>
          <w:b w:val="1"/>
          <w:u w:val="single"/>
          <w:rtl w:val="0"/>
        </w:rPr>
        <w:t xml:space="preserve">cumpre TODOS os requisitos legais preconizados, pela própria legislação que institui o ICP – BRASIL</w:t>
      </w:r>
      <w:r w:rsidDel="00000000" w:rsidR="00000000" w:rsidRPr="00000000">
        <w:rPr>
          <w:rtl w:val="0"/>
        </w:rPr>
        <w:t xml:space="preserve">, a fundamentação para aceitação da assinatura eletrônica em documentos particulares é vasta, destacando-se os seguintes:</w:t>
      </w:r>
    </w:p>
    <w:p w:rsidR="00000000" w:rsidDel="00000000" w:rsidP="00000000" w:rsidRDefault="00000000" w:rsidRPr="00000000" w14:paraId="00000003">
      <w:pPr>
        <w:ind w:left="708" w:firstLine="0"/>
        <w:rPr/>
      </w:pPr>
      <w:r w:rsidDel="00000000" w:rsidR="00000000" w:rsidRPr="00000000">
        <w:rPr>
          <w:rtl w:val="0"/>
        </w:rPr>
        <w:t xml:space="preserve">- Código Civil Brasileiro em seus artigos 104, 107 e 225.</w:t>
      </w:r>
    </w:p>
    <w:p w:rsidR="00000000" w:rsidDel="00000000" w:rsidP="00000000" w:rsidRDefault="00000000" w:rsidRPr="00000000" w14:paraId="00000004">
      <w:pPr>
        <w:ind w:left="708" w:firstLine="0"/>
        <w:rPr/>
      </w:pPr>
      <w:r w:rsidDel="00000000" w:rsidR="00000000" w:rsidRPr="00000000">
        <w:rPr>
          <w:rtl w:val="0"/>
        </w:rPr>
        <w:t xml:space="preserve">- Código de Processo Civil em seu artigo 369, 411, 440 e 441.</w:t>
      </w:r>
    </w:p>
    <w:p w:rsidR="00000000" w:rsidDel="00000000" w:rsidP="00000000" w:rsidRDefault="00000000" w:rsidRPr="00000000" w14:paraId="00000005">
      <w:pPr>
        <w:ind w:left="708" w:firstLine="0"/>
        <w:rPr/>
      </w:pPr>
      <w:r w:rsidDel="00000000" w:rsidR="00000000" w:rsidRPr="00000000">
        <w:rPr>
          <w:rtl w:val="0"/>
        </w:rPr>
        <w:t xml:space="preserve">- Medida Provisória 2.200–2 /2001.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 xml:space="preserve">Resumidamente, não havendo menção expressa na lei vetando a assinatura eletrônica, todo e qualquer documento assinado de forma eletrônica, entre particulares, é válido.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ab/>
        <w:t xml:space="preserve">Importante frisar que para que uma assinatura eletrônica seja aceita e validada em caso de eventual questionamento, ela deve cumprir os seguintes requisitos técnicos: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Autenticidade: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registro de autenticação dos usuários, como assinatura, biometria facial, dentre outros.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Intenção e não repúdio: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registros que comprovem a origem, submissão, entrega e a integridade do processo de assinatura. Impedindo que um signatário negue sua ação e intenção de assinar.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Integridade: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registros e criação de um código de integridade (chamado hash) para verificação da originalidade do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Tempestividade: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registro de data e hora da ocorrência da ação praticada.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Confidencialidade: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registro de todos aqueles que tiveram acesso ao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ab/>
        <w:t xml:space="preserve">A assinatura eletrônica fornecida pela empresa</w:t>
      </w:r>
      <w:r w:rsidDel="00000000" w:rsidR="00000000" w:rsidRPr="00000000">
        <w:rPr>
          <w:b w:val="1"/>
          <w:u w:val="single"/>
          <w:rtl w:val="0"/>
        </w:rPr>
        <w:t xml:space="preserve"> ZapSign, cumpre os requisitos da MP nº 2.200-2/2001, diploma legal que criou o ICP BRASIl, neste sentido o § 2º do art. 10 da MP nº 2.200-2/2001, </w:t>
      </w:r>
      <w:r w:rsidDel="00000000" w:rsidR="00000000" w:rsidRPr="00000000">
        <w:rPr>
          <w:rtl w:val="0"/>
        </w:rPr>
        <w:t xml:space="preserve">autoriza que os particulares, por pacto, estabeleçam suas próprias formas de assinatura eletrônica (desde que cumpridos os requisitos de autoria e integridade de documentos eletrônicos), senão vejamos:</w:t>
      </w:r>
    </w:p>
    <w:p w:rsidR="00000000" w:rsidDel="00000000" w:rsidP="00000000" w:rsidRDefault="00000000" w:rsidRPr="00000000" w14:paraId="0000000E">
      <w:pPr>
        <w:ind w:left="708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“Art. 10.  Consideram-se documentos públicos ou particulares, para todos os fins legais, os documentos eletrônicos de que trata esta Medida Provisória.</w:t>
      </w:r>
    </w:p>
    <w:p w:rsidR="00000000" w:rsidDel="00000000" w:rsidP="00000000" w:rsidRDefault="00000000" w:rsidRPr="00000000" w14:paraId="0000000F">
      <w:pPr>
        <w:ind w:left="708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...</w:t>
      </w:r>
    </w:p>
    <w:p w:rsidR="00000000" w:rsidDel="00000000" w:rsidP="00000000" w:rsidRDefault="00000000" w:rsidRPr="00000000" w14:paraId="00000010">
      <w:pPr>
        <w:ind w:left="708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§ 2o  </w:t>
      </w:r>
      <w:r w:rsidDel="00000000" w:rsidR="00000000" w:rsidRPr="00000000">
        <w:rPr>
          <w:i w:val="1"/>
          <w:u w:val="single"/>
          <w:rtl w:val="0"/>
        </w:rPr>
        <w:t xml:space="preserve">O disposto nesta Medida Provisória não obsta a utilização de outro meio de comprovação da autoria e integridade de documentos em forma eletrônica, inclusive os que utilizem certificados não emitidos pela ICP-Brasil, desde que admitido pelas partes como válido ou aceito pela pessoa a quem for oposto o documento</w:t>
      </w:r>
      <w:r w:rsidDel="00000000" w:rsidR="00000000" w:rsidRPr="00000000">
        <w:rPr>
          <w:i w:val="1"/>
          <w:rtl w:val="0"/>
        </w:rPr>
        <w:t xml:space="preserve">.”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ab/>
        <w:t xml:space="preserve">No caso da ZapSign a integridade (não violação do seu conteúdo), é feita pela utilização de certificado digital emitido pelo ICP-BRASIL, que impossibilita qualquer violação do conteúdo do documento eletrônico sem que haja invalidação da assinatura feita pelo certificado digital.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ab/>
        <w:t xml:space="preserve">A vinculação de autoria do signatário no instrumento ora apresentado, foi validado pelos seguintes pontos de autenticação: </w:t>
      </w:r>
      <w:r w:rsidDel="00000000" w:rsidR="00000000" w:rsidRPr="00000000">
        <w:rPr>
          <w:b w:val="1"/>
          <w:rtl w:val="0"/>
        </w:rPr>
        <w:t xml:space="preserve">1. Assinatura em Tela, 2. Registro do IP do aparelho utilizado para assinatura do acordo, 3. Geolocalização da signatária, 4. Token único enviado para o e-mail do signatário, 5. Selfie tirada no momento da assinatura do documento e 6. Foto do documento de identificação tirada no momento da assinatura do documento pela signatária</w:t>
      </w:r>
      <w:r w:rsidDel="00000000" w:rsidR="00000000" w:rsidRPr="00000000">
        <w:rPr>
          <w:rtl w:val="0"/>
        </w:rPr>
        <w:t xml:space="preserve">, conforme demonstrado pelo relatório de assinatura (parte integrante do termo de acordo apresentado), cujo resumo segue abaixo: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highlight w:val="yellow"/>
          <w:rtl w:val="0"/>
        </w:rPr>
        <w:t xml:space="preserve">INSERIR AQUI A IMAGEM DO RELATORIO DE ASSINATURA DO DOCUMENTO QUESTIONADO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/>
        <w:drawing>
          <wp:inline distB="0" distT="0" distL="0" distR="0">
            <wp:extent cx="5400040" cy="3389630"/>
            <wp:effectExtent b="0" l="0" r="0" t="0"/>
            <wp:docPr descr="Interface gráfica do usuário, Texto, Aplicativo, Email&#10;&#10;Descrição gerada automaticamente" id="3" name="image1.png"/>
            <a:graphic>
              <a:graphicData uri="http://schemas.openxmlformats.org/drawingml/2006/picture">
                <pic:pic>
                  <pic:nvPicPr>
                    <pic:cNvPr descr="Interface gráfica do usuário, Texto, Aplicativo, Email&#10;&#10;Descrição gerada automa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89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u w:val="single"/>
        </w:rPr>
      </w:pPr>
      <w:r w:rsidDel="00000000" w:rsidR="00000000" w:rsidRPr="00000000">
        <w:rPr>
          <w:rtl w:val="0"/>
        </w:rPr>
        <w:tab/>
        <w:t xml:space="preserve">Ou seja, as assinaturas realizadas pela ferramenta </w:t>
      </w:r>
      <w:r w:rsidDel="00000000" w:rsidR="00000000" w:rsidRPr="00000000">
        <w:rPr>
          <w:b w:val="1"/>
          <w:rtl w:val="0"/>
        </w:rPr>
        <w:t xml:space="preserve">ZapSign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0"/>
        </w:rPr>
        <w:t xml:space="preserve">cumprem expressamente todos os requisitos legais, dispostos na legislação, não havendo qualquer vedação a sua utilização na assinatura de documentos.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ab/>
        <w:t xml:space="preserve">Vale destacar, ainda, que a MP 983/2020, convertida na lei n.14.063/2020, permitiu que, durante o período de pandemia da Covid-19, os níveis mínimos estabelecidos pelos entes públicos poderão ser flexibilizados em relação aos requisitos acima listados, com o objetivo de reduzir os contatos presenciais ou tratar eventuais impossibilidades de realização da assinatura de modo diverso.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BE17E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fdpqqXGQIfFiUSBqSPwQvknnhA==">CgMxLjA4AHIhMXVvRVd6Wk5SUG5ob3FnT2NWa3FUQ1BQSmZ5TDNNcWtE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2022-09-22T15:58:00Z</dcterms:created>
  <dc:creator>Getulio Santos</dc:creator>
</cp:coreProperties>
</file>